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1C4AD" w14:textId="70217522" w:rsidR="00B9305B" w:rsidRPr="00DF1026" w:rsidRDefault="00227B57" w:rsidP="00B9305B">
      <w:pPr>
        <w:spacing w:after="0" w:line="240" w:lineRule="auto"/>
        <w:jc w:val="right"/>
        <w:rPr>
          <w:rFonts w:ascii="Arial" w:hAnsi="Arial" w:cs="Arial"/>
          <w:lang w:val="en-US"/>
        </w:rPr>
      </w:pPr>
      <w:r>
        <w:rPr>
          <w:rFonts w:ascii="Arial" w:hAnsi="Arial" w:cs="Arial"/>
          <w:lang w:val="en-US"/>
        </w:rPr>
        <w:t>Annex No 3 to the SPC</w:t>
      </w:r>
    </w:p>
    <w:p w14:paraId="6182838A" w14:textId="4E978F96" w:rsidR="003159B7" w:rsidRPr="003159B7" w:rsidRDefault="00CE7657" w:rsidP="003159B7">
      <w:pPr>
        <w:keepNext/>
        <w:spacing w:after="0" w:line="360" w:lineRule="auto"/>
        <w:contextualSpacing/>
        <w:jc w:val="center"/>
        <w:outlineLvl w:val="0"/>
        <w:rPr>
          <w:rFonts w:ascii="Arial" w:eastAsia="Times New Roman" w:hAnsi="Arial" w:cs="Arial"/>
          <w:b/>
          <w:i/>
          <w:u w:val="single"/>
        </w:rPr>
      </w:pPr>
      <w:r w:rsidRPr="00CE7657">
        <w:rPr>
          <w:rFonts w:ascii="Arial" w:eastAsia="Times New Roman" w:hAnsi="Arial" w:cs="Arial"/>
          <w:b/>
        </w:rPr>
        <w:t xml:space="preserve">Methodology for evaluating economic </w:t>
      </w:r>
      <w:r w:rsidR="00415EB3">
        <w:rPr>
          <w:rFonts w:ascii="Arial" w:eastAsia="Times New Roman" w:hAnsi="Arial" w:cs="Arial"/>
          <w:b/>
        </w:rPr>
        <w:t>advantage</w:t>
      </w:r>
      <w:r w:rsidRPr="00CE7657" w:rsidDel="00CE7657">
        <w:rPr>
          <w:rFonts w:ascii="Arial" w:eastAsia="Times New Roman" w:hAnsi="Arial" w:cs="Arial"/>
          <w:b/>
        </w:rPr>
        <w:t xml:space="preserve"> </w:t>
      </w:r>
    </w:p>
    <w:p w14:paraId="66FD3AEB" w14:textId="77777777" w:rsidR="003159B7" w:rsidRPr="003159B7" w:rsidRDefault="003159B7" w:rsidP="003159B7">
      <w:pPr>
        <w:spacing w:after="0" w:line="360" w:lineRule="auto"/>
        <w:ind w:firstLine="357"/>
        <w:contextualSpacing/>
        <w:rPr>
          <w:rFonts w:ascii="Arial" w:hAnsi="Arial" w:cs="Arial"/>
        </w:rPr>
      </w:pPr>
    </w:p>
    <w:p w14:paraId="1BCA37E5" w14:textId="276C5F9C" w:rsidR="003159B7" w:rsidRDefault="004E35CA" w:rsidP="003159B7">
      <w:pPr>
        <w:numPr>
          <w:ilvl w:val="0"/>
          <w:numId w:val="3"/>
        </w:numPr>
        <w:spacing w:after="0" w:line="240" w:lineRule="auto"/>
        <w:ind w:left="284" w:hanging="284"/>
        <w:contextualSpacing/>
        <w:jc w:val="both"/>
        <w:rPr>
          <w:rFonts w:ascii="Arial" w:hAnsi="Arial" w:cs="Arial"/>
        </w:rPr>
      </w:pPr>
      <w:r w:rsidRPr="004E35CA">
        <w:rPr>
          <w:rFonts w:ascii="Arial" w:hAnsi="Arial" w:cs="Arial"/>
        </w:rPr>
        <w:t xml:space="preserve">This Annex provides the criteria for evaluating the most economically advantageous </w:t>
      </w:r>
      <w:r>
        <w:rPr>
          <w:rFonts w:ascii="Arial" w:hAnsi="Arial" w:cs="Arial"/>
        </w:rPr>
        <w:t>Tender</w:t>
      </w:r>
      <w:r w:rsidRPr="004E35CA">
        <w:rPr>
          <w:rFonts w:ascii="Arial" w:hAnsi="Arial" w:cs="Arial"/>
        </w:rPr>
        <w:t xml:space="preserve">, comparative weights, and formulas according to which the economic </w:t>
      </w:r>
      <w:r>
        <w:rPr>
          <w:rFonts w:ascii="Arial" w:hAnsi="Arial" w:cs="Arial"/>
        </w:rPr>
        <w:t>advantage</w:t>
      </w:r>
      <w:r w:rsidRPr="004E35CA">
        <w:rPr>
          <w:rFonts w:ascii="Arial" w:hAnsi="Arial" w:cs="Arial"/>
        </w:rPr>
        <w:t xml:space="preserve"> of the </w:t>
      </w:r>
      <w:r>
        <w:rPr>
          <w:rFonts w:ascii="Arial" w:hAnsi="Arial" w:cs="Arial"/>
        </w:rPr>
        <w:t>tenders</w:t>
      </w:r>
      <w:r w:rsidRPr="004E35CA">
        <w:rPr>
          <w:rFonts w:ascii="Arial" w:hAnsi="Arial" w:cs="Arial"/>
        </w:rPr>
        <w:t xml:space="preserve"> will be calculated.</w:t>
      </w:r>
    </w:p>
    <w:p w14:paraId="112DEEF3" w14:textId="77777777" w:rsidR="0048285D" w:rsidRPr="003159B7" w:rsidRDefault="0048285D" w:rsidP="006A0A73">
      <w:pPr>
        <w:spacing w:after="0" w:line="240" w:lineRule="auto"/>
        <w:ind w:left="284"/>
        <w:contextualSpacing/>
        <w:jc w:val="both"/>
        <w:rPr>
          <w:rFonts w:ascii="Arial" w:hAnsi="Arial" w:cs="Arial"/>
        </w:rPr>
      </w:pPr>
    </w:p>
    <w:tbl>
      <w:tblPr>
        <w:tblW w:w="9496" w:type="dxa"/>
        <w:tblInd w:w="-8" w:type="dxa"/>
        <w:tblLayout w:type="fixed"/>
        <w:tblCellMar>
          <w:left w:w="0" w:type="dxa"/>
          <w:right w:w="0" w:type="dxa"/>
        </w:tblCellMar>
        <w:tblLook w:val="04A0" w:firstRow="1" w:lastRow="0" w:firstColumn="1" w:lastColumn="0" w:noHBand="0" w:noVBand="1"/>
      </w:tblPr>
      <w:tblGrid>
        <w:gridCol w:w="707"/>
        <w:gridCol w:w="3119"/>
        <w:gridCol w:w="2976"/>
        <w:gridCol w:w="2694"/>
      </w:tblGrid>
      <w:tr w:rsidR="003159B7" w:rsidRPr="003159B7" w14:paraId="3C4E582D" w14:textId="77777777" w:rsidTr="79E31E97">
        <w:trPr>
          <w:cantSplit/>
          <w:tblHeader/>
        </w:trPr>
        <w:tc>
          <w:tcPr>
            <w:tcW w:w="707" w:type="dxa"/>
            <w:tcBorders>
              <w:top w:val="single" w:sz="8" w:space="0" w:color="000000" w:themeColor="text1"/>
              <w:left w:val="single" w:sz="8" w:space="0" w:color="000000" w:themeColor="text1"/>
              <w:bottom w:val="single" w:sz="8" w:space="0" w:color="auto"/>
              <w:right w:val="single" w:sz="8" w:space="0" w:color="000000" w:themeColor="text1"/>
            </w:tcBorders>
            <w:shd w:val="clear" w:color="auto" w:fill="D9D9D9" w:themeFill="background1" w:themeFillShade="D9"/>
            <w:tcMar>
              <w:top w:w="0" w:type="dxa"/>
              <w:left w:w="108" w:type="dxa"/>
              <w:bottom w:w="0" w:type="dxa"/>
              <w:right w:w="108" w:type="dxa"/>
            </w:tcMar>
            <w:vAlign w:val="center"/>
            <w:hideMark/>
          </w:tcPr>
          <w:p w14:paraId="37CEFC99" w14:textId="039CAFA7" w:rsidR="003159B7" w:rsidRPr="003159B7" w:rsidRDefault="004E35CA" w:rsidP="003159B7">
            <w:pPr>
              <w:spacing w:after="0" w:line="360" w:lineRule="auto"/>
              <w:contextualSpacing/>
              <w:jc w:val="center"/>
              <w:rPr>
                <w:rFonts w:ascii="Arial" w:hAnsi="Arial" w:cs="Arial"/>
                <w:b/>
                <w:bCs/>
                <w:sz w:val="20"/>
              </w:rPr>
            </w:pPr>
            <w:r>
              <w:rPr>
                <w:rFonts w:ascii="Arial" w:hAnsi="Arial" w:cs="Arial"/>
                <w:b/>
                <w:bCs/>
                <w:sz w:val="20"/>
              </w:rPr>
              <w:t>No</w:t>
            </w:r>
          </w:p>
        </w:tc>
        <w:tc>
          <w:tcPr>
            <w:tcW w:w="3119" w:type="dxa"/>
            <w:tcBorders>
              <w:top w:val="single" w:sz="8" w:space="0" w:color="000000" w:themeColor="text1"/>
              <w:left w:val="nil"/>
              <w:bottom w:val="single" w:sz="8" w:space="0" w:color="auto"/>
              <w:right w:val="single" w:sz="8" w:space="0" w:color="000000" w:themeColor="text1"/>
            </w:tcBorders>
            <w:shd w:val="clear" w:color="auto" w:fill="D9D9D9" w:themeFill="background1" w:themeFillShade="D9"/>
            <w:tcMar>
              <w:top w:w="0" w:type="dxa"/>
              <w:left w:w="108" w:type="dxa"/>
              <w:bottom w:w="0" w:type="dxa"/>
              <w:right w:w="108" w:type="dxa"/>
            </w:tcMar>
            <w:vAlign w:val="center"/>
            <w:hideMark/>
          </w:tcPr>
          <w:p w14:paraId="1ABD3A19" w14:textId="2D0B5430" w:rsidR="003159B7" w:rsidRPr="003159B7" w:rsidRDefault="003846DF" w:rsidP="003159B7">
            <w:pPr>
              <w:spacing w:after="0" w:line="360" w:lineRule="auto"/>
              <w:contextualSpacing/>
              <w:jc w:val="center"/>
              <w:rPr>
                <w:rFonts w:ascii="Arial" w:hAnsi="Arial" w:cs="Arial"/>
                <w:b/>
                <w:bCs/>
                <w:sz w:val="20"/>
              </w:rPr>
            </w:pPr>
            <w:r>
              <w:rPr>
                <w:rFonts w:ascii="Arial" w:hAnsi="Arial" w:cs="Arial"/>
                <w:b/>
                <w:bCs/>
                <w:sz w:val="20"/>
              </w:rPr>
              <w:t>Tender evaluation criteria</w:t>
            </w:r>
          </w:p>
        </w:tc>
        <w:tc>
          <w:tcPr>
            <w:tcW w:w="2976" w:type="dxa"/>
            <w:tcBorders>
              <w:top w:val="single" w:sz="8" w:space="0" w:color="000000" w:themeColor="text1"/>
              <w:left w:val="nil"/>
              <w:bottom w:val="single" w:sz="8" w:space="0" w:color="auto"/>
              <w:right w:val="single" w:sz="4" w:space="0" w:color="auto"/>
            </w:tcBorders>
            <w:shd w:val="clear" w:color="auto" w:fill="D9D9D9" w:themeFill="background1" w:themeFillShade="D9"/>
            <w:tcMar>
              <w:top w:w="0" w:type="dxa"/>
              <w:left w:w="108" w:type="dxa"/>
              <w:bottom w:w="0" w:type="dxa"/>
              <w:right w:w="108" w:type="dxa"/>
            </w:tcMar>
            <w:vAlign w:val="center"/>
            <w:hideMark/>
          </w:tcPr>
          <w:p w14:paraId="686A939E" w14:textId="26A989F5" w:rsidR="003159B7" w:rsidRPr="003159B7" w:rsidRDefault="00A77E08" w:rsidP="003159B7">
            <w:pPr>
              <w:spacing w:after="0" w:line="360" w:lineRule="auto"/>
              <w:contextualSpacing/>
              <w:jc w:val="center"/>
              <w:rPr>
                <w:rFonts w:ascii="Arial" w:hAnsi="Arial" w:cs="Arial"/>
                <w:b/>
                <w:bCs/>
                <w:sz w:val="20"/>
              </w:rPr>
            </w:pPr>
            <w:r w:rsidRPr="00A77E08">
              <w:rPr>
                <w:rFonts w:ascii="Arial" w:hAnsi="Arial" w:cs="Arial"/>
                <w:b/>
                <w:bCs/>
                <w:sz w:val="20"/>
              </w:rPr>
              <w:t>Comparative weight in the assessment of economic utility</w:t>
            </w:r>
          </w:p>
        </w:tc>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BADF9A0" w14:textId="511E51A5" w:rsidR="003159B7" w:rsidRPr="003159B7" w:rsidRDefault="00A77E08" w:rsidP="003159B7">
            <w:pPr>
              <w:spacing w:after="0" w:line="360" w:lineRule="auto"/>
              <w:contextualSpacing/>
              <w:jc w:val="center"/>
              <w:rPr>
                <w:rFonts w:ascii="Arial" w:hAnsi="Arial" w:cs="Arial"/>
                <w:b/>
                <w:sz w:val="20"/>
              </w:rPr>
            </w:pPr>
            <w:r w:rsidRPr="00A77E08">
              <w:rPr>
                <w:rFonts w:ascii="Arial" w:hAnsi="Arial" w:cs="Arial"/>
                <w:b/>
                <w:sz w:val="20"/>
              </w:rPr>
              <w:t>Information used to calculate assessment indicators</w:t>
            </w:r>
          </w:p>
        </w:tc>
      </w:tr>
      <w:tr w:rsidR="003159B7" w:rsidRPr="003159B7" w14:paraId="6763F3AE" w14:textId="77777777" w:rsidTr="79E31E97">
        <w:trPr>
          <w:trHeight w:val="170"/>
        </w:trPr>
        <w:tc>
          <w:tcPr>
            <w:tcW w:w="70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998327" w14:textId="77777777" w:rsidR="003159B7" w:rsidRPr="003159B7" w:rsidRDefault="003159B7" w:rsidP="003159B7">
            <w:pPr>
              <w:spacing w:after="0" w:line="360" w:lineRule="auto"/>
              <w:contextualSpacing/>
              <w:jc w:val="center"/>
              <w:rPr>
                <w:rFonts w:ascii="Arial" w:hAnsi="Arial" w:cs="Arial"/>
                <w:sz w:val="20"/>
              </w:rPr>
            </w:pPr>
            <w:r w:rsidRPr="003159B7">
              <w:rPr>
                <w:rFonts w:ascii="Arial" w:hAnsi="Arial" w:cs="Arial"/>
                <w:sz w:val="20"/>
              </w:rPr>
              <w:t>1.</w:t>
            </w:r>
          </w:p>
        </w:tc>
        <w:tc>
          <w:tcPr>
            <w:tcW w:w="311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49299D" w14:textId="132F1863" w:rsidR="003159B7" w:rsidRPr="003159B7" w:rsidRDefault="00A77E08" w:rsidP="003159B7">
            <w:pPr>
              <w:spacing w:after="0" w:line="360" w:lineRule="auto"/>
              <w:contextualSpacing/>
              <w:rPr>
                <w:rFonts w:ascii="Arial" w:hAnsi="Arial" w:cs="Arial"/>
                <w:sz w:val="20"/>
              </w:rPr>
            </w:pPr>
            <w:r>
              <w:rPr>
                <w:rFonts w:ascii="Arial" w:hAnsi="Arial" w:cs="Arial"/>
                <w:sz w:val="20"/>
              </w:rPr>
              <w:t>Tender price</w:t>
            </w:r>
            <w:r w:rsidR="003159B7" w:rsidRPr="003159B7">
              <w:rPr>
                <w:rFonts w:ascii="Arial" w:hAnsi="Arial" w:cs="Arial"/>
                <w:sz w:val="20"/>
              </w:rPr>
              <w:t xml:space="preserve"> (A)</w:t>
            </w:r>
          </w:p>
        </w:tc>
        <w:tc>
          <w:tcPr>
            <w:tcW w:w="2976" w:type="dxa"/>
            <w:tcBorders>
              <w:top w:val="nil"/>
              <w:left w:val="nil"/>
              <w:bottom w:val="single" w:sz="8" w:space="0" w:color="auto"/>
              <w:right w:val="single" w:sz="4" w:space="0" w:color="auto"/>
            </w:tcBorders>
            <w:tcMar>
              <w:top w:w="0" w:type="dxa"/>
              <w:left w:w="108" w:type="dxa"/>
              <w:bottom w:w="0" w:type="dxa"/>
              <w:right w:w="108" w:type="dxa"/>
            </w:tcMar>
            <w:vAlign w:val="center"/>
            <w:hideMark/>
          </w:tcPr>
          <w:p w14:paraId="01CE3997" w14:textId="71013D29" w:rsidR="003159B7" w:rsidRPr="003159B7" w:rsidRDefault="003159B7" w:rsidP="003159B7">
            <w:pPr>
              <w:spacing w:after="0" w:line="360" w:lineRule="auto"/>
              <w:contextualSpacing/>
              <w:jc w:val="center"/>
              <w:rPr>
                <w:rFonts w:ascii="Arial" w:hAnsi="Arial" w:cs="Arial"/>
                <w:sz w:val="20"/>
              </w:rPr>
            </w:pPr>
            <w:r w:rsidRPr="003159B7">
              <w:rPr>
                <w:rFonts w:ascii="Arial" w:hAnsi="Arial" w:cs="Arial"/>
                <w:sz w:val="20"/>
              </w:rPr>
              <w:t>x=</w:t>
            </w:r>
            <w:r w:rsidR="00286241">
              <w:rPr>
                <w:rFonts w:ascii="Arial" w:hAnsi="Arial" w:cs="Arial"/>
                <w:sz w:val="20"/>
              </w:rPr>
              <w:t>80</w:t>
            </w:r>
          </w:p>
        </w:tc>
        <w:tc>
          <w:tcPr>
            <w:tcW w:w="2694" w:type="dxa"/>
            <w:tcBorders>
              <w:top w:val="single" w:sz="4" w:space="0" w:color="auto"/>
              <w:left w:val="single" w:sz="4" w:space="0" w:color="auto"/>
              <w:bottom w:val="single" w:sz="4" w:space="0" w:color="auto"/>
              <w:right w:val="single" w:sz="4" w:space="0" w:color="auto"/>
            </w:tcBorders>
          </w:tcPr>
          <w:p w14:paraId="7DEBCBDA" w14:textId="1D7913DA" w:rsidR="00686C26" w:rsidRPr="00686C26" w:rsidRDefault="00686C26" w:rsidP="00686C26">
            <w:pPr>
              <w:tabs>
                <w:tab w:val="left" w:pos="279"/>
              </w:tabs>
              <w:spacing w:after="0" w:line="360" w:lineRule="auto"/>
              <w:contextualSpacing/>
              <w:jc w:val="both"/>
              <w:rPr>
                <w:rFonts w:ascii="Arial" w:hAnsi="Arial" w:cs="Arial"/>
                <w:sz w:val="20"/>
              </w:rPr>
            </w:pPr>
            <w:r w:rsidRPr="00686C26">
              <w:rPr>
                <w:rFonts w:ascii="Arial" w:hAnsi="Arial" w:cs="Arial"/>
                <w:sz w:val="20"/>
              </w:rPr>
              <w:t xml:space="preserve">The value specified in the </w:t>
            </w:r>
            <w:r>
              <w:rPr>
                <w:rFonts w:ascii="Arial" w:hAnsi="Arial" w:cs="Arial"/>
                <w:sz w:val="20"/>
              </w:rPr>
              <w:t>tender</w:t>
            </w:r>
            <w:r w:rsidRPr="00686C26">
              <w:rPr>
                <w:rFonts w:ascii="Arial" w:hAnsi="Arial" w:cs="Arial"/>
                <w:sz w:val="20"/>
              </w:rPr>
              <w:t xml:space="preserve"> price of the annex to the </w:t>
            </w:r>
            <w:r>
              <w:rPr>
                <w:rFonts w:ascii="Arial" w:hAnsi="Arial" w:cs="Arial"/>
                <w:sz w:val="20"/>
              </w:rPr>
              <w:t>tender</w:t>
            </w:r>
            <w:r w:rsidRPr="00686C26">
              <w:rPr>
                <w:rFonts w:ascii="Arial" w:hAnsi="Arial" w:cs="Arial"/>
                <w:sz w:val="20"/>
              </w:rPr>
              <w:t xml:space="preserve"> form is used for evaluation:</w:t>
            </w:r>
          </w:p>
          <w:p w14:paraId="59F87868" w14:textId="123C2A44" w:rsidR="00686C26" w:rsidRPr="00686C26" w:rsidRDefault="00686C26" w:rsidP="00686C26">
            <w:pPr>
              <w:tabs>
                <w:tab w:val="left" w:pos="279"/>
              </w:tabs>
              <w:spacing w:after="0" w:line="360" w:lineRule="auto"/>
              <w:contextualSpacing/>
              <w:jc w:val="both"/>
              <w:rPr>
                <w:rFonts w:ascii="Arial" w:hAnsi="Arial" w:cs="Arial"/>
                <w:sz w:val="20"/>
              </w:rPr>
            </w:pPr>
            <w:r w:rsidRPr="00686C26">
              <w:rPr>
                <w:rFonts w:ascii="Arial" w:hAnsi="Arial" w:cs="Arial"/>
                <w:sz w:val="20"/>
              </w:rPr>
              <w:t xml:space="preserve">- in </w:t>
            </w:r>
            <w:r>
              <w:rPr>
                <w:rFonts w:ascii="Arial" w:hAnsi="Arial" w:cs="Arial"/>
                <w:sz w:val="20"/>
              </w:rPr>
              <w:t>cell</w:t>
            </w:r>
            <w:r w:rsidRPr="00686C26">
              <w:rPr>
                <w:rFonts w:ascii="Arial" w:hAnsi="Arial" w:cs="Arial"/>
                <w:sz w:val="20"/>
              </w:rPr>
              <w:t xml:space="preserve"> C38</w:t>
            </w:r>
            <w:r>
              <w:rPr>
                <w:rFonts w:ascii="Arial" w:hAnsi="Arial" w:cs="Arial"/>
                <w:sz w:val="20"/>
              </w:rPr>
              <w:t xml:space="preserve"> when</w:t>
            </w:r>
            <w:r w:rsidRPr="00686C26">
              <w:rPr>
                <w:rFonts w:ascii="Arial" w:hAnsi="Arial" w:cs="Arial"/>
                <w:sz w:val="20"/>
              </w:rPr>
              <w:t xml:space="preserve"> filling in “2.6.1. Main </w:t>
            </w:r>
            <w:r>
              <w:rPr>
                <w:rFonts w:ascii="Arial" w:hAnsi="Arial" w:cs="Arial"/>
                <w:sz w:val="20"/>
              </w:rPr>
              <w:t>tender</w:t>
            </w:r>
            <w:r w:rsidRPr="00686C26">
              <w:rPr>
                <w:rFonts w:ascii="Arial" w:hAnsi="Arial" w:cs="Arial"/>
                <w:sz w:val="20"/>
              </w:rPr>
              <w:t xml:space="preserve"> form” or “2.6.3. Alternative </w:t>
            </w:r>
            <w:r>
              <w:rPr>
                <w:rFonts w:ascii="Arial" w:hAnsi="Arial" w:cs="Arial"/>
                <w:sz w:val="20"/>
              </w:rPr>
              <w:t xml:space="preserve">tender price </w:t>
            </w:r>
            <w:r w:rsidRPr="00686C26">
              <w:rPr>
                <w:rFonts w:ascii="Arial" w:hAnsi="Arial" w:cs="Arial"/>
                <w:sz w:val="20"/>
              </w:rPr>
              <w:t xml:space="preserve"> No. 2”</w:t>
            </w:r>
          </w:p>
          <w:p w14:paraId="5F840941" w14:textId="292E1C84" w:rsidR="009B2B58" w:rsidRPr="00C26831" w:rsidRDefault="00686C26" w:rsidP="00686C26">
            <w:pPr>
              <w:pStyle w:val="ListParagraph"/>
              <w:tabs>
                <w:tab w:val="left" w:pos="279"/>
              </w:tabs>
              <w:spacing w:line="360" w:lineRule="auto"/>
              <w:ind w:left="0"/>
              <w:jc w:val="both"/>
              <w:rPr>
                <w:rFonts w:ascii="Arial" w:hAnsi="Arial" w:cs="Arial"/>
                <w:sz w:val="20"/>
              </w:rPr>
            </w:pPr>
            <w:r w:rsidRPr="00686C26">
              <w:rPr>
                <w:rFonts w:ascii="Arial" w:hAnsi="Arial" w:cs="Arial"/>
                <w:sz w:val="20"/>
              </w:rPr>
              <w:t xml:space="preserve">- in </w:t>
            </w:r>
            <w:r>
              <w:rPr>
                <w:rFonts w:ascii="Arial" w:hAnsi="Arial" w:cs="Arial"/>
                <w:sz w:val="20"/>
              </w:rPr>
              <w:t>cell</w:t>
            </w:r>
            <w:r w:rsidRPr="00686C26">
              <w:rPr>
                <w:rFonts w:ascii="Arial" w:hAnsi="Arial" w:cs="Arial"/>
                <w:sz w:val="20"/>
              </w:rPr>
              <w:t xml:space="preserve"> C45 filling in “2.6.2. Alternative </w:t>
            </w:r>
            <w:r>
              <w:rPr>
                <w:rFonts w:ascii="Arial" w:hAnsi="Arial" w:cs="Arial"/>
                <w:sz w:val="20"/>
              </w:rPr>
              <w:t>tender price</w:t>
            </w:r>
            <w:r w:rsidRPr="00686C26">
              <w:rPr>
                <w:rFonts w:ascii="Arial" w:hAnsi="Arial" w:cs="Arial"/>
                <w:sz w:val="20"/>
              </w:rPr>
              <w:t xml:space="preserve"> No. 1”</w:t>
            </w:r>
          </w:p>
        </w:tc>
      </w:tr>
      <w:tr w:rsidR="003159B7" w:rsidRPr="003159B7" w14:paraId="55FCC3C9" w14:textId="77777777" w:rsidTr="79E31E97">
        <w:tc>
          <w:tcPr>
            <w:tcW w:w="707" w:type="dxa"/>
            <w:tcBorders>
              <w:top w:val="nil"/>
              <w:left w:val="single" w:sz="8" w:space="0" w:color="000000" w:themeColor="text1"/>
              <w:bottom w:val="single" w:sz="8" w:space="0" w:color="000000" w:themeColor="text1"/>
              <w:right w:val="single" w:sz="8" w:space="0" w:color="000000" w:themeColor="text1"/>
            </w:tcBorders>
            <w:tcMar>
              <w:top w:w="0" w:type="dxa"/>
              <w:left w:w="108" w:type="dxa"/>
              <w:bottom w:w="0" w:type="dxa"/>
              <w:right w:w="108" w:type="dxa"/>
            </w:tcMar>
            <w:vAlign w:val="center"/>
            <w:hideMark/>
          </w:tcPr>
          <w:p w14:paraId="00884EBB" w14:textId="77777777" w:rsidR="003159B7" w:rsidRPr="003159B7" w:rsidRDefault="003159B7" w:rsidP="003159B7">
            <w:pPr>
              <w:spacing w:after="0" w:line="360" w:lineRule="auto"/>
              <w:contextualSpacing/>
              <w:jc w:val="center"/>
              <w:rPr>
                <w:rFonts w:ascii="Arial" w:hAnsi="Arial" w:cs="Arial"/>
                <w:sz w:val="20"/>
              </w:rPr>
            </w:pPr>
            <w:r w:rsidRPr="003159B7">
              <w:rPr>
                <w:rFonts w:ascii="Arial" w:hAnsi="Arial" w:cs="Arial"/>
                <w:sz w:val="20"/>
              </w:rPr>
              <w:t>2.</w:t>
            </w:r>
          </w:p>
        </w:tc>
        <w:tc>
          <w:tcPr>
            <w:tcW w:w="3119" w:type="dxa"/>
            <w:tcBorders>
              <w:top w:val="nil"/>
              <w:left w:val="nil"/>
              <w:bottom w:val="single" w:sz="8" w:space="0" w:color="000000" w:themeColor="text1"/>
              <w:right w:val="single" w:sz="8" w:space="0" w:color="000000" w:themeColor="text1"/>
            </w:tcBorders>
            <w:tcMar>
              <w:top w:w="0" w:type="dxa"/>
              <w:left w:w="108" w:type="dxa"/>
              <w:bottom w:w="0" w:type="dxa"/>
              <w:right w:w="108" w:type="dxa"/>
            </w:tcMar>
            <w:vAlign w:val="center"/>
            <w:hideMark/>
          </w:tcPr>
          <w:p w14:paraId="0840FA5C" w14:textId="35D62CEB" w:rsidR="003159B7" w:rsidRPr="003159B7" w:rsidRDefault="00337B7A" w:rsidP="003159B7">
            <w:pPr>
              <w:spacing w:after="0" w:line="360" w:lineRule="auto"/>
              <w:contextualSpacing/>
              <w:rPr>
                <w:rFonts w:ascii="Arial" w:hAnsi="Arial" w:cs="Arial"/>
                <w:sz w:val="20"/>
              </w:rPr>
            </w:pPr>
            <w:r>
              <w:rPr>
                <w:rFonts w:ascii="Arial" w:hAnsi="Arial" w:cs="Arial"/>
                <w:sz w:val="20"/>
              </w:rPr>
              <w:t>Non mandatory functional requirements</w:t>
            </w:r>
            <w:r w:rsidR="00F71A38">
              <w:rPr>
                <w:rFonts w:ascii="Arial" w:hAnsi="Arial" w:cs="Arial"/>
                <w:sz w:val="20"/>
              </w:rPr>
              <w:t xml:space="preserve"> </w:t>
            </w:r>
            <w:r w:rsidR="00F71A38" w:rsidRPr="00F71A38">
              <w:rPr>
                <w:rFonts w:ascii="Arial" w:hAnsi="Arial" w:cs="Arial"/>
                <w:sz w:val="20"/>
              </w:rPr>
              <w:t>that the system proposed by the supplier has or that the supplier undertakes to implement during the performance of the contract</w:t>
            </w:r>
            <w:r w:rsidR="00F71A38" w:rsidRPr="00F71A38">
              <w:rPr>
                <w:rFonts w:ascii="Arial" w:hAnsi="Arial" w:cs="Arial"/>
                <w:sz w:val="20"/>
              </w:rPr>
              <w:t xml:space="preserve"> </w:t>
            </w:r>
            <w:r w:rsidR="003159B7" w:rsidRPr="003159B7">
              <w:rPr>
                <w:rFonts w:ascii="Arial" w:hAnsi="Arial" w:cs="Arial"/>
                <w:sz w:val="20"/>
              </w:rPr>
              <w:t>(B)</w:t>
            </w:r>
          </w:p>
        </w:tc>
        <w:tc>
          <w:tcPr>
            <w:tcW w:w="2976" w:type="dxa"/>
            <w:tcBorders>
              <w:top w:val="nil"/>
              <w:left w:val="nil"/>
              <w:bottom w:val="single" w:sz="8" w:space="0" w:color="000000" w:themeColor="text1"/>
              <w:right w:val="single" w:sz="4" w:space="0" w:color="auto"/>
            </w:tcBorders>
            <w:tcMar>
              <w:top w:w="0" w:type="dxa"/>
              <w:left w:w="108" w:type="dxa"/>
              <w:bottom w:w="0" w:type="dxa"/>
              <w:right w:w="108" w:type="dxa"/>
            </w:tcMar>
            <w:vAlign w:val="center"/>
            <w:hideMark/>
          </w:tcPr>
          <w:p w14:paraId="3FD14529" w14:textId="77777777" w:rsidR="003159B7" w:rsidRPr="003159B7" w:rsidRDefault="003159B7" w:rsidP="003159B7">
            <w:pPr>
              <w:spacing w:after="0" w:line="360" w:lineRule="auto"/>
              <w:contextualSpacing/>
              <w:jc w:val="center"/>
              <w:rPr>
                <w:rFonts w:ascii="Arial" w:hAnsi="Arial" w:cs="Arial"/>
                <w:sz w:val="20"/>
              </w:rPr>
            </w:pPr>
            <w:r w:rsidRPr="003159B7">
              <w:rPr>
                <w:rFonts w:ascii="Arial" w:hAnsi="Arial" w:cs="Arial"/>
                <w:sz w:val="20"/>
              </w:rPr>
              <w:t>y=20</w:t>
            </w:r>
          </w:p>
        </w:tc>
        <w:tc>
          <w:tcPr>
            <w:tcW w:w="2694" w:type="dxa"/>
            <w:tcBorders>
              <w:top w:val="single" w:sz="4" w:space="0" w:color="auto"/>
              <w:left w:val="single" w:sz="4" w:space="0" w:color="auto"/>
              <w:bottom w:val="single" w:sz="4" w:space="0" w:color="auto"/>
              <w:right w:val="single" w:sz="4" w:space="0" w:color="auto"/>
            </w:tcBorders>
          </w:tcPr>
          <w:p w14:paraId="5A56FB8A" w14:textId="03CEBB24" w:rsidR="003159B7" w:rsidRPr="003159B7" w:rsidRDefault="00F239F5" w:rsidP="00F239F5">
            <w:pPr>
              <w:spacing w:after="0" w:line="360" w:lineRule="auto"/>
              <w:contextualSpacing/>
              <w:jc w:val="both"/>
              <w:rPr>
                <w:rFonts w:ascii="Arial" w:hAnsi="Arial" w:cs="Arial"/>
                <w:sz w:val="20"/>
                <w:szCs w:val="20"/>
                <w:lang w:val="en-US"/>
              </w:rPr>
            </w:pPr>
            <w:r w:rsidRPr="00F239F5">
              <w:rPr>
                <w:rFonts w:ascii="Arial" w:hAnsi="Arial" w:cs="Arial"/>
                <w:sz w:val="20"/>
                <w:szCs w:val="20"/>
                <w:lang w:val="en-US"/>
              </w:rPr>
              <w:t xml:space="preserve">Annex </w:t>
            </w:r>
            <w:r>
              <w:rPr>
                <w:rFonts w:ascii="Arial" w:hAnsi="Arial" w:cs="Arial"/>
                <w:sz w:val="20"/>
                <w:szCs w:val="20"/>
                <w:lang w:val="en-US"/>
              </w:rPr>
              <w:t xml:space="preserve">No </w:t>
            </w:r>
            <w:r w:rsidRPr="00F239F5">
              <w:rPr>
                <w:rFonts w:ascii="Arial" w:hAnsi="Arial" w:cs="Arial"/>
                <w:sz w:val="20"/>
                <w:szCs w:val="20"/>
                <w:lang w:val="en-US"/>
              </w:rPr>
              <w:t xml:space="preserve">7 of the </w:t>
            </w:r>
            <w:r>
              <w:rPr>
                <w:rFonts w:ascii="Arial" w:hAnsi="Arial" w:cs="Arial"/>
                <w:sz w:val="20"/>
                <w:szCs w:val="20"/>
                <w:lang w:val="en-US"/>
              </w:rPr>
              <w:t>Tender</w:t>
            </w:r>
            <w:r w:rsidRPr="00F239F5">
              <w:rPr>
                <w:rFonts w:ascii="Arial" w:hAnsi="Arial" w:cs="Arial"/>
                <w:sz w:val="20"/>
                <w:szCs w:val="20"/>
                <w:lang w:val="en-US"/>
              </w:rPr>
              <w:t xml:space="preserve"> Form and columns I, J, K of the Functional Requirements </w:t>
            </w:r>
            <w:r>
              <w:rPr>
                <w:rFonts w:ascii="Arial" w:hAnsi="Arial" w:cs="Arial"/>
                <w:sz w:val="20"/>
                <w:szCs w:val="20"/>
                <w:lang w:val="en-US"/>
              </w:rPr>
              <w:t xml:space="preserve">must </w:t>
            </w:r>
            <w:r w:rsidRPr="00F239F5">
              <w:rPr>
                <w:rFonts w:ascii="Arial" w:hAnsi="Arial" w:cs="Arial"/>
                <w:sz w:val="20"/>
                <w:szCs w:val="20"/>
                <w:lang w:val="en-US"/>
              </w:rPr>
              <w:t>be completed.</w:t>
            </w:r>
          </w:p>
        </w:tc>
      </w:tr>
    </w:tbl>
    <w:p w14:paraId="19DB41CC" w14:textId="77777777" w:rsidR="003159B7" w:rsidRPr="003159B7" w:rsidRDefault="003159B7" w:rsidP="003159B7">
      <w:pPr>
        <w:spacing w:after="0" w:line="360" w:lineRule="auto"/>
        <w:ind w:left="284" w:firstLine="357"/>
        <w:contextualSpacing/>
        <w:rPr>
          <w:rFonts w:ascii="Arial" w:hAnsi="Arial" w:cs="Arial"/>
        </w:rPr>
      </w:pPr>
    </w:p>
    <w:p w14:paraId="0B77DFD1" w14:textId="2280473D" w:rsidR="003159B7" w:rsidRPr="003159B7" w:rsidRDefault="004E1386" w:rsidP="003159B7">
      <w:pPr>
        <w:numPr>
          <w:ilvl w:val="0"/>
          <w:numId w:val="3"/>
        </w:numPr>
        <w:spacing w:after="0" w:line="240" w:lineRule="auto"/>
        <w:ind w:left="284"/>
        <w:jc w:val="both"/>
        <w:rPr>
          <w:rFonts w:ascii="Arial" w:hAnsi="Arial" w:cs="Arial"/>
        </w:rPr>
      </w:pPr>
      <w:r w:rsidRPr="004E1386">
        <w:rPr>
          <w:rFonts w:ascii="Arial" w:hAnsi="Arial" w:cs="Arial"/>
        </w:rPr>
        <w:t>When performing calculations, round to the nearest hundredth.</w:t>
      </w:r>
      <w:r w:rsidRPr="004E1386" w:rsidDel="004E1386">
        <w:rPr>
          <w:rFonts w:ascii="Arial" w:hAnsi="Arial" w:cs="Arial"/>
        </w:rPr>
        <w:t xml:space="preserve"> </w:t>
      </w:r>
    </w:p>
    <w:p w14:paraId="10D20AF4" w14:textId="2E39C40E" w:rsidR="003159B7" w:rsidRPr="003159B7" w:rsidRDefault="001843AF" w:rsidP="003159B7">
      <w:pPr>
        <w:numPr>
          <w:ilvl w:val="0"/>
          <w:numId w:val="3"/>
        </w:numPr>
        <w:spacing w:after="0" w:line="240" w:lineRule="auto"/>
        <w:ind w:left="284"/>
        <w:jc w:val="both"/>
        <w:rPr>
          <w:rFonts w:ascii="Arial" w:hAnsi="Arial" w:cs="Arial"/>
        </w:rPr>
      </w:pPr>
      <w:r w:rsidRPr="001843AF">
        <w:rPr>
          <w:rFonts w:ascii="Arial" w:hAnsi="Arial" w:cs="Arial"/>
        </w:rPr>
        <w:t>The most economically advantageous tender will be the one that scores the highest economic efficiency points.</w:t>
      </w:r>
      <w:r w:rsidRPr="001843AF" w:rsidDel="001843AF">
        <w:rPr>
          <w:rFonts w:ascii="Arial" w:hAnsi="Arial" w:cs="Arial"/>
        </w:rPr>
        <w:t xml:space="preserve"> </w:t>
      </w:r>
      <w:r w:rsidR="003159B7" w:rsidRPr="003159B7">
        <w:rPr>
          <w:rFonts w:ascii="Arial" w:hAnsi="Arial" w:cs="Arial"/>
        </w:rPr>
        <w:t xml:space="preserve">(S). </w:t>
      </w:r>
    </w:p>
    <w:p w14:paraId="64FAE4B1" w14:textId="33A97B4B" w:rsidR="003159B7" w:rsidRPr="003159B7" w:rsidRDefault="0023339F" w:rsidP="003159B7">
      <w:pPr>
        <w:numPr>
          <w:ilvl w:val="0"/>
          <w:numId w:val="3"/>
        </w:numPr>
        <w:spacing w:after="0" w:line="240" w:lineRule="auto"/>
        <w:ind w:left="284"/>
        <w:jc w:val="both"/>
        <w:rPr>
          <w:rFonts w:ascii="Arial" w:hAnsi="Arial" w:cs="Arial"/>
        </w:rPr>
      </w:pPr>
      <w:r w:rsidRPr="0023339F">
        <w:rPr>
          <w:rFonts w:ascii="Arial" w:hAnsi="Arial" w:cs="Arial"/>
        </w:rPr>
        <w:t xml:space="preserve">4. The total economic efficiency score (S) of the </w:t>
      </w:r>
      <w:r>
        <w:rPr>
          <w:rFonts w:ascii="Arial" w:hAnsi="Arial" w:cs="Arial"/>
        </w:rPr>
        <w:t>tender</w:t>
      </w:r>
      <w:r w:rsidRPr="0023339F">
        <w:rPr>
          <w:rFonts w:ascii="Arial" w:hAnsi="Arial" w:cs="Arial"/>
        </w:rPr>
        <w:t xml:space="preserve"> is calculated by adding the scores of the </w:t>
      </w:r>
      <w:r>
        <w:rPr>
          <w:rFonts w:ascii="Arial" w:hAnsi="Arial" w:cs="Arial"/>
        </w:rPr>
        <w:t>Tender</w:t>
      </w:r>
      <w:r w:rsidRPr="0023339F">
        <w:rPr>
          <w:rFonts w:ascii="Arial" w:hAnsi="Arial" w:cs="Arial"/>
        </w:rPr>
        <w:t xml:space="preserve"> price (A) and the </w:t>
      </w:r>
      <w:r>
        <w:rPr>
          <w:rFonts w:ascii="Arial" w:hAnsi="Arial" w:cs="Arial"/>
        </w:rPr>
        <w:t>Non mandatory</w:t>
      </w:r>
      <w:r w:rsidRPr="0023339F">
        <w:rPr>
          <w:rFonts w:ascii="Arial" w:hAnsi="Arial" w:cs="Arial"/>
        </w:rPr>
        <w:t xml:space="preserve"> functional requirements (B)</w:t>
      </w:r>
      <w:r w:rsidRPr="0023339F" w:rsidDel="0023339F">
        <w:rPr>
          <w:rFonts w:ascii="Arial" w:hAnsi="Arial" w:cs="Arial"/>
        </w:rPr>
        <w:t xml:space="preserve"> </w:t>
      </w:r>
      <w:r w:rsidR="003159B7" w:rsidRPr="003159B7">
        <w:rPr>
          <w:rFonts w:ascii="Arial" w:hAnsi="Arial" w:cs="Arial"/>
        </w:rPr>
        <w:t>:</w:t>
      </w:r>
    </w:p>
    <w:p w14:paraId="71DF8481" w14:textId="67897414" w:rsidR="003159B7" w:rsidRPr="003159B7" w:rsidRDefault="003159B7" w:rsidP="006A0A73">
      <w:pPr>
        <w:spacing w:after="0" w:line="240" w:lineRule="auto"/>
        <w:ind w:left="284" w:firstLine="357"/>
        <w:jc w:val="center"/>
        <w:rPr>
          <w:rFonts w:ascii="Arial" w:hAnsi="Arial" w:cs="Arial"/>
        </w:rPr>
      </w:pPr>
      <m:oMathPara>
        <m:oMath>
          <m:r>
            <w:rPr>
              <w:rFonts w:ascii="Cambria Math" w:hAnsi="Cambria Math" w:cs="Arial"/>
            </w:rPr>
            <m:t>S=A+B</m:t>
          </m:r>
        </m:oMath>
      </m:oMathPara>
    </w:p>
    <w:p w14:paraId="26EB3656" w14:textId="446D4F35" w:rsidR="003159B7" w:rsidRPr="003159B7" w:rsidRDefault="00B533C6" w:rsidP="003159B7">
      <w:pPr>
        <w:numPr>
          <w:ilvl w:val="0"/>
          <w:numId w:val="3"/>
        </w:numPr>
        <w:spacing w:after="0" w:line="240" w:lineRule="auto"/>
        <w:ind w:left="284"/>
        <w:jc w:val="both"/>
        <w:rPr>
          <w:rFonts w:ascii="Arial" w:hAnsi="Arial" w:cs="Arial"/>
        </w:rPr>
      </w:pPr>
      <w:r w:rsidRPr="00B533C6">
        <w:rPr>
          <w:rFonts w:ascii="Arial" w:hAnsi="Arial" w:cs="Arial"/>
        </w:rPr>
        <w:t xml:space="preserve">The points for the </w:t>
      </w:r>
      <w:r>
        <w:rPr>
          <w:rFonts w:ascii="Arial" w:hAnsi="Arial" w:cs="Arial"/>
        </w:rPr>
        <w:t>tender</w:t>
      </w:r>
      <w:r w:rsidRPr="00B533C6">
        <w:rPr>
          <w:rFonts w:ascii="Arial" w:hAnsi="Arial" w:cs="Arial"/>
        </w:rPr>
        <w:t xml:space="preserve"> price criterion</w:t>
      </w:r>
      <w:r w:rsidRPr="00B533C6" w:rsidDel="00B533C6">
        <w:rPr>
          <w:rFonts w:ascii="Arial" w:hAnsi="Arial" w:cs="Arial"/>
        </w:rPr>
        <w:t xml:space="preserve"> </w:t>
      </w:r>
      <w:r w:rsidR="003159B7" w:rsidRPr="003159B7">
        <w:rPr>
          <w:rFonts w:ascii="Arial" w:hAnsi="Arial" w:cs="Arial"/>
          <w:b/>
        </w:rPr>
        <w:t>(A)</w:t>
      </w:r>
      <w:r w:rsidR="003159B7" w:rsidRPr="003159B7">
        <w:rPr>
          <w:rFonts w:ascii="Arial" w:hAnsi="Arial" w:cs="Arial"/>
        </w:rPr>
        <w:t xml:space="preserve"> </w:t>
      </w:r>
      <w:r w:rsidR="000878EB" w:rsidRPr="000878EB">
        <w:rPr>
          <w:rFonts w:ascii="Arial" w:hAnsi="Arial" w:cs="Arial"/>
        </w:rPr>
        <w:t xml:space="preserve">are calculated by multiplying the ratio of the lowest </w:t>
      </w:r>
      <w:r w:rsidR="000878EB">
        <w:rPr>
          <w:rFonts w:ascii="Arial" w:hAnsi="Arial" w:cs="Arial"/>
        </w:rPr>
        <w:t>tender</w:t>
      </w:r>
      <w:r w:rsidR="000878EB" w:rsidRPr="000878EB">
        <w:rPr>
          <w:rFonts w:ascii="Arial" w:hAnsi="Arial" w:cs="Arial"/>
        </w:rPr>
        <w:t xml:space="preserve"> price</w:t>
      </w:r>
      <w:r w:rsidR="000878EB" w:rsidRPr="000878EB" w:rsidDel="000878EB">
        <w:rPr>
          <w:rFonts w:ascii="Arial" w:hAnsi="Arial" w:cs="Arial"/>
        </w:rPr>
        <w:t xml:space="preserve"> </w:t>
      </w:r>
      <w:r w:rsidR="003159B7" w:rsidRPr="003159B7">
        <w:rPr>
          <w:rFonts w:ascii="Arial" w:hAnsi="Arial" w:cs="Arial"/>
        </w:rPr>
        <w:t>(A</w:t>
      </w:r>
      <w:r w:rsidR="003159B7" w:rsidRPr="003159B7">
        <w:rPr>
          <w:rFonts w:ascii="Arial" w:hAnsi="Arial" w:cs="Arial"/>
          <w:vertAlign w:val="subscript"/>
        </w:rPr>
        <w:t>min</w:t>
      </w:r>
      <w:r w:rsidR="003159B7" w:rsidRPr="003159B7">
        <w:rPr>
          <w:rFonts w:ascii="Arial" w:hAnsi="Arial" w:cs="Arial"/>
        </w:rPr>
        <w:t xml:space="preserve">) </w:t>
      </w:r>
      <w:r w:rsidR="000878EB" w:rsidRPr="000878EB">
        <w:rPr>
          <w:rFonts w:ascii="Arial" w:hAnsi="Arial" w:cs="Arial"/>
        </w:rPr>
        <w:t xml:space="preserve">and the evaluated </w:t>
      </w:r>
      <w:r w:rsidR="002D198B">
        <w:rPr>
          <w:rFonts w:ascii="Arial" w:hAnsi="Arial" w:cs="Arial"/>
        </w:rPr>
        <w:t>tender</w:t>
      </w:r>
      <w:r w:rsidR="000878EB" w:rsidRPr="000878EB">
        <w:rPr>
          <w:rFonts w:ascii="Arial" w:hAnsi="Arial" w:cs="Arial"/>
        </w:rPr>
        <w:t>'s price</w:t>
      </w:r>
      <w:r w:rsidR="000878EB" w:rsidRPr="000878EB" w:rsidDel="000878EB">
        <w:rPr>
          <w:rFonts w:ascii="Arial" w:hAnsi="Arial" w:cs="Arial"/>
        </w:rPr>
        <w:t xml:space="preserve"> </w:t>
      </w:r>
      <w:r w:rsidR="003159B7" w:rsidRPr="003159B7">
        <w:rPr>
          <w:rFonts w:ascii="Arial" w:hAnsi="Arial" w:cs="Arial"/>
        </w:rPr>
        <w:t>(A</w:t>
      </w:r>
      <w:r w:rsidR="003159B7" w:rsidRPr="003159B7">
        <w:rPr>
          <w:rFonts w:ascii="Arial" w:hAnsi="Arial" w:cs="Arial"/>
          <w:vertAlign w:val="subscript"/>
        </w:rPr>
        <w:t>p</w:t>
      </w:r>
      <w:r w:rsidR="003159B7" w:rsidRPr="003159B7">
        <w:rPr>
          <w:rFonts w:ascii="Arial" w:hAnsi="Arial" w:cs="Arial"/>
        </w:rPr>
        <w:t xml:space="preserve">) </w:t>
      </w:r>
      <w:r w:rsidR="009D66B7" w:rsidRPr="009D66B7">
        <w:rPr>
          <w:rFonts w:ascii="Arial" w:hAnsi="Arial" w:cs="Arial"/>
        </w:rPr>
        <w:t>by the comparative weight of the price criterion.</w:t>
      </w:r>
      <w:r w:rsidR="009D66B7" w:rsidRPr="009D66B7" w:rsidDel="009D66B7">
        <w:rPr>
          <w:rFonts w:ascii="Arial" w:hAnsi="Arial" w:cs="Arial"/>
        </w:rPr>
        <w:t xml:space="preserve"> </w:t>
      </w:r>
      <w:r w:rsidR="003159B7" w:rsidRPr="003159B7">
        <w:rPr>
          <w:rFonts w:ascii="Arial" w:hAnsi="Arial" w:cs="Arial"/>
        </w:rPr>
        <w:t>(x):</w:t>
      </w:r>
    </w:p>
    <w:p w14:paraId="28904341" w14:textId="77777777" w:rsidR="003159B7" w:rsidRPr="003159B7" w:rsidRDefault="003159B7" w:rsidP="003159B7">
      <w:pPr>
        <w:spacing w:after="0" w:line="240" w:lineRule="auto"/>
        <w:ind w:left="284" w:firstLine="357"/>
        <w:rPr>
          <w:rFonts w:ascii="Arial" w:hAnsi="Arial" w:cs="Arial"/>
        </w:rPr>
      </w:pPr>
      <m:oMathPara>
        <m:oMath>
          <m:r>
            <w:rPr>
              <w:rFonts w:ascii="Cambria Math" w:hAnsi="Cambria Math" w:cs="Arial"/>
            </w:rPr>
            <m:t>A=</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A</m:t>
                  </m:r>
                </m:e>
                <m:sub>
                  <m:r>
                    <w:rPr>
                      <w:rFonts w:ascii="Cambria Math" w:hAnsi="Cambria Math" w:cs="Arial"/>
                    </w:rPr>
                    <m:t>min</m:t>
                  </m:r>
                </m:sub>
              </m:sSub>
            </m:num>
            <m:den>
              <m:sSub>
                <m:sSubPr>
                  <m:ctrlPr>
                    <w:rPr>
                      <w:rFonts w:ascii="Cambria Math" w:hAnsi="Cambria Math" w:cs="Arial"/>
                      <w:i/>
                    </w:rPr>
                  </m:ctrlPr>
                </m:sSubPr>
                <m:e>
                  <m:r>
                    <w:rPr>
                      <w:rFonts w:ascii="Cambria Math" w:hAnsi="Cambria Math" w:cs="Arial"/>
                    </w:rPr>
                    <m:t>A</m:t>
                  </m:r>
                </m:e>
                <m:sub>
                  <m:r>
                    <w:rPr>
                      <w:rFonts w:ascii="Cambria Math" w:hAnsi="Cambria Math" w:cs="Arial"/>
                    </w:rPr>
                    <m:t>p</m:t>
                  </m:r>
                </m:sub>
              </m:sSub>
            </m:den>
          </m:f>
          <m:r>
            <w:rPr>
              <w:rFonts w:ascii="Cambria Math" w:hAnsi="Cambria Math" w:cs="Arial"/>
            </w:rPr>
            <m:t>×x</m:t>
          </m:r>
        </m:oMath>
      </m:oMathPara>
    </w:p>
    <w:p w14:paraId="3A390AD3" w14:textId="0F6F04C1" w:rsidR="00DC5289" w:rsidRDefault="001B657E" w:rsidP="79E31E97">
      <w:pPr>
        <w:numPr>
          <w:ilvl w:val="0"/>
          <w:numId w:val="3"/>
        </w:numPr>
        <w:spacing w:after="0" w:line="240" w:lineRule="auto"/>
        <w:ind w:left="284"/>
        <w:jc w:val="both"/>
        <w:rPr>
          <w:rFonts w:ascii="Arial" w:hAnsi="Arial" w:cs="Arial"/>
          <w:lang w:val="en-US"/>
        </w:rPr>
      </w:pPr>
      <w:r w:rsidRPr="001B657E">
        <w:rPr>
          <w:rFonts w:ascii="Arial" w:hAnsi="Arial" w:cs="Arial"/>
          <w:lang w:val="en-US"/>
        </w:rPr>
        <w:t xml:space="preserve">Points are awarded for </w:t>
      </w:r>
      <w:r w:rsidR="00E01320">
        <w:rPr>
          <w:rFonts w:ascii="Arial" w:hAnsi="Arial" w:cs="Arial"/>
          <w:lang w:val="en-US"/>
        </w:rPr>
        <w:t>non-mandatory</w:t>
      </w:r>
      <w:r w:rsidRPr="001B657E">
        <w:rPr>
          <w:rFonts w:ascii="Arial" w:hAnsi="Arial" w:cs="Arial"/>
          <w:lang w:val="en-US"/>
        </w:rPr>
        <w:t xml:space="preserve"> functional requirements after assessing the commitment of the evaluated supplier, indicated in Annex No. 7 of the </w:t>
      </w:r>
      <w:r w:rsidR="00E01320">
        <w:rPr>
          <w:rFonts w:ascii="Arial" w:hAnsi="Arial" w:cs="Arial"/>
          <w:lang w:val="en-US"/>
        </w:rPr>
        <w:t>Tender</w:t>
      </w:r>
      <w:r w:rsidRPr="001B657E">
        <w:rPr>
          <w:rFonts w:ascii="Arial" w:hAnsi="Arial" w:cs="Arial"/>
          <w:lang w:val="en-US"/>
        </w:rPr>
        <w:t xml:space="preserve"> Form, to implement the </w:t>
      </w:r>
      <w:r w:rsidR="00E01320">
        <w:rPr>
          <w:rFonts w:ascii="Arial" w:hAnsi="Arial" w:cs="Arial"/>
          <w:lang w:val="en-US"/>
        </w:rPr>
        <w:t>non-mandatory</w:t>
      </w:r>
      <w:r w:rsidRPr="001B657E">
        <w:rPr>
          <w:rFonts w:ascii="Arial" w:hAnsi="Arial" w:cs="Arial"/>
          <w:lang w:val="en-US"/>
        </w:rPr>
        <w:t xml:space="preserve"> functional requirement in the System and after filling in columns I, J, K of Annex Functional requirements. 1 point is awarded for each committed and described </w:t>
      </w:r>
      <w:r w:rsidR="0005423F">
        <w:rPr>
          <w:rFonts w:ascii="Arial" w:hAnsi="Arial" w:cs="Arial"/>
          <w:lang w:val="en-US"/>
        </w:rPr>
        <w:t>non-mandatory</w:t>
      </w:r>
      <w:r w:rsidRPr="001B657E">
        <w:rPr>
          <w:rFonts w:ascii="Arial" w:hAnsi="Arial" w:cs="Arial"/>
          <w:lang w:val="en-US"/>
        </w:rPr>
        <w:t xml:space="preserve"> functional requirement. Criterion value </w:t>
      </w:r>
      <w:r w:rsidR="0005423F">
        <w:rPr>
          <w:rFonts w:ascii="Arial" w:hAnsi="Arial" w:cs="Arial"/>
          <w:lang w:val="en-US"/>
        </w:rPr>
        <w:t>non-mandatory</w:t>
      </w:r>
      <w:r w:rsidRPr="001B657E">
        <w:rPr>
          <w:rFonts w:ascii="Arial" w:hAnsi="Arial" w:cs="Arial"/>
          <w:lang w:val="en-US"/>
        </w:rPr>
        <w:t xml:space="preserve"> functional requirements (B) points are calculated by comparing the value of the number of points received by the evaluated supplier (Bp) with the total value of the other supplier who received the most points in the procurement (Bmax) and multiplying it by the comparative weight (y) of the parameter of the evaluated criterion:</w:t>
      </w:r>
    </w:p>
    <w:p w14:paraId="5D67D123" w14:textId="33423ECE" w:rsidR="00DC5289" w:rsidRPr="00DC5289" w:rsidRDefault="00DC5289" w:rsidP="00DC5289">
      <w:pPr>
        <w:pStyle w:val="ListParagraph"/>
        <w:spacing w:line="360" w:lineRule="auto"/>
        <w:rPr>
          <w:rFonts w:ascii="Arial" w:eastAsiaTheme="minorEastAsia" w:hAnsi="Arial" w:cs="Arial"/>
        </w:rPr>
      </w:pPr>
      <m:oMathPara>
        <m:oMath>
          <m:r>
            <w:rPr>
              <w:rFonts w:ascii="Cambria Math" w:hAnsi="Cambria Math" w:cs="Arial"/>
            </w:rPr>
            <w:lastRenderedPageBreak/>
            <m:t>B=</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B</m:t>
                  </m:r>
                </m:e>
                <m:sub>
                  <m:r>
                    <w:rPr>
                      <w:rFonts w:ascii="Cambria Math" w:hAnsi="Cambria Math" w:cs="Arial"/>
                    </w:rPr>
                    <m:t>p</m:t>
                  </m:r>
                </m:sub>
              </m:sSub>
            </m:num>
            <m:den>
              <m:sSub>
                <m:sSubPr>
                  <m:ctrlPr>
                    <w:rPr>
                      <w:rFonts w:ascii="Cambria Math" w:hAnsi="Cambria Math" w:cs="Arial"/>
                      <w:i/>
                    </w:rPr>
                  </m:ctrlPr>
                </m:sSubPr>
                <m:e>
                  <m:r>
                    <w:rPr>
                      <w:rFonts w:ascii="Cambria Math" w:hAnsi="Cambria Math" w:cs="Arial"/>
                    </w:rPr>
                    <m:t>B</m:t>
                  </m:r>
                </m:e>
                <m:sub>
                  <m:r>
                    <w:rPr>
                      <w:rFonts w:ascii="Cambria Math" w:hAnsi="Cambria Math" w:cs="Arial"/>
                    </w:rPr>
                    <m:t>max</m:t>
                  </m:r>
                </m:sub>
              </m:sSub>
            </m:den>
          </m:f>
          <m:r>
            <w:rPr>
              <w:rFonts w:ascii="Cambria Math" w:hAnsi="Cambria Math" w:cs="Arial"/>
            </w:rPr>
            <m:t>×y</m:t>
          </m:r>
        </m:oMath>
      </m:oMathPara>
    </w:p>
    <w:p w14:paraId="5DB52045" w14:textId="77777777" w:rsidR="00DC5289" w:rsidRDefault="00DC5289" w:rsidP="00DC5289">
      <w:pPr>
        <w:spacing w:after="0" w:line="240" w:lineRule="auto"/>
        <w:ind w:left="284"/>
        <w:jc w:val="both"/>
        <w:rPr>
          <w:rFonts w:ascii="Arial" w:hAnsi="Arial" w:cs="Arial"/>
        </w:rPr>
      </w:pPr>
    </w:p>
    <w:p w14:paraId="3878ECD7" w14:textId="7349999C" w:rsidR="00DC5289" w:rsidRPr="00DC5289" w:rsidRDefault="00091658" w:rsidP="00DC5289">
      <w:pPr>
        <w:numPr>
          <w:ilvl w:val="0"/>
          <w:numId w:val="3"/>
        </w:numPr>
        <w:spacing w:after="0" w:line="240" w:lineRule="auto"/>
        <w:ind w:left="284"/>
        <w:jc w:val="both"/>
        <w:rPr>
          <w:rFonts w:ascii="Arial" w:hAnsi="Arial" w:cs="Arial"/>
        </w:rPr>
      </w:pPr>
      <w:r w:rsidRPr="00091658">
        <w:rPr>
          <w:rFonts w:ascii="Arial" w:hAnsi="Arial" w:cs="Arial"/>
        </w:rPr>
        <w:t xml:space="preserve">The </w:t>
      </w:r>
      <w:r>
        <w:rPr>
          <w:rFonts w:ascii="Arial" w:hAnsi="Arial" w:cs="Arial"/>
        </w:rPr>
        <w:t>sucessful tenderer</w:t>
      </w:r>
      <w:r w:rsidRPr="00091658">
        <w:rPr>
          <w:rFonts w:ascii="Arial" w:hAnsi="Arial" w:cs="Arial"/>
        </w:rPr>
        <w:t xml:space="preserve"> is the supplier with the highest economic efficiency score S.</w:t>
      </w:r>
    </w:p>
    <w:p w14:paraId="17D417CC" w14:textId="77777777" w:rsidR="00DC5289" w:rsidRDefault="00DC5289" w:rsidP="00DC5289">
      <w:pPr>
        <w:spacing w:after="0" w:line="240" w:lineRule="auto"/>
        <w:ind w:left="284"/>
        <w:jc w:val="both"/>
        <w:rPr>
          <w:rFonts w:ascii="Arial" w:hAnsi="Arial" w:cs="Arial"/>
        </w:rPr>
      </w:pPr>
    </w:p>
    <w:p w14:paraId="5BBC92C5" w14:textId="77777777" w:rsidR="006A6F17" w:rsidRPr="003159B7" w:rsidRDefault="006A6F17" w:rsidP="00DC5289">
      <w:pPr>
        <w:spacing w:after="0" w:line="240" w:lineRule="auto"/>
        <w:jc w:val="both"/>
        <w:rPr>
          <w:rFonts w:ascii="Arial" w:hAnsi="Arial" w:cs="Arial"/>
        </w:rPr>
      </w:pPr>
    </w:p>
    <w:sectPr w:rsidR="006A6F17" w:rsidRPr="003159B7">
      <w:headerReference w:type="default" r:id="rId10"/>
      <w:footerReference w:type="default" r:id="rId1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8D9646" w14:textId="77777777" w:rsidR="00F15375" w:rsidRDefault="00F15375" w:rsidP="00197F1B">
      <w:pPr>
        <w:spacing w:after="0" w:line="240" w:lineRule="auto"/>
      </w:pPr>
      <w:r>
        <w:separator/>
      </w:r>
    </w:p>
  </w:endnote>
  <w:endnote w:type="continuationSeparator" w:id="0">
    <w:p w14:paraId="57DB3DFD" w14:textId="77777777" w:rsidR="00F15375" w:rsidRDefault="00F15375" w:rsidP="00197F1B">
      <w:pPr>
        <w:spacing w:after="0" w:line="240" w:lineRule="auto"/>
      </w:pPr>
      <w:r>
        <w:continuationSeparator/>
      </w:r>
    </w:p>
  </w:endnote>
  <w:endnote w:type="continuationNotice" w:id="1">
    <w:p w14:paraId="5FA3D850" w14:textId="77777777" w:rsidR="00F15375" w:rsidRDefault="00F1537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6CD6206F" w14:paraId="23D9AB86" w14:textId="77777777" w:rsidTr="6CD6206F">
      <w:trPr>
        <w:trHeight w:val="300"/>
      </w:trPr>
      <w:tc>
        <w:tcPr>
          <w:tcW w:w="3210" w:type="dxa"/>
        </w:tcPr>
        <w:p w14:paraId="18D62EBF" w14:textId="275BD239" w:rsidR="6CD6206F" w:rsidRDefault="6CD6206F" w:rsidP="6CD6206F">
          <w:pPr>
            <w:pStyle w:val="Header"/>
            <w:ind w:left="-115"/>
          </w:pPr>
        </w:p>
      </w:tc>
      <w:tc>
        <w:tcPr>
          <w:tcW w:w="3210" w:type="dxa"/>
        </w:tcPr>
        <w:p w14:paraId="67CEEFC0" w14:textId="534A5128" w:rsidR="6CD6206F" w:rsidRDefault="6CD6206F" w:rsidP="6CD6206F">
          <w:pPr>
            <w:pStyle w:val="Header"/>
            <w:jc w:val="center"/>
          </w:pPr>
        </w:p>
      </w:tc>
      <w:tc>
        <w:tcPr>
          <w:tcW w:w="3210" w:type="dxa"/>
        </w:tcPr>
        <w:p w14:paraId="4506263D" w14:textId="6D937440" w:rsidR="6CD6206F" w:rsidRDefault="6CD6206F" w:rsidP="6CD6206F">
          <w:pPr>
            <w:pStyle w:val="Header"/>
            <w:ind w:right="-115"/>
            <w:jc w:val="right"/>
          </w:pPr>
        </w:p>
      </w:tc>
    </w:tr>
  </w:tbl>
  <w:p w14:paraId="26818724" w14:textId="73D9761F" w:rsidR="6CD6206F" w:rsidRDefault="6CD6206F" w:rsidP="6CD620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7DADF7" w14:textId="77777777" w:rsidR="00F15375" w:rsidRDefault="00F15375" w:rsidP="00197F1B">
      <w:pPr>
        <w:spacing w:after="0" w:line="240" w:lineRule="auto"/>
      </w:pPr>
      <w:r>
        <w:separator/>
      </w:r>
    </w:p>
  </w:footnote>
  <w:footnote w:type="continuationSeparator" w:id="0">
    <w:p w14:paraId="04664AE9" w14:textId="77777777" w:rsidR="00F15375" w:rsidRDefault="00F15375" w:rsidP="00197F1B">
      <w:pPr>
        <w:spacing w:after="0" w:line="240" w:lineRule="auto"/>
      </w:pPr>
      <w:r>
        <w:continuationSeparator/>
      </w:r>
    </w:p>
  </w:footnote>
  <w:footnote w:type="continuationNotice" w:id="1">
    <w:p w14:paraId="3DA6E135" w14:textId="77777777" w:rsidR="00F15375" w:rsidRDefault="00F1537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2163" w14:textId="77777777" w:rsidR="00C63FDD" w:rsidRDefault="00C63FDD">
    <w:pPr>
      <w:pStyle w:val="Header"/>
    </w:pPr>
  </w:p>
  <w:p w14:paraId="6EBC011D" w14:textId="36027551" w:rsidR="00197F1B" w:rsidRPr="00C63FDD" w:rsidRDefault="00197F1B">
    <w:pPr>
      <w:pStyle w:val="Header"/>
      <w:rPr>
        <w:rFonts w:ascii="Arial" w:hAnsi="Arial" w:cs="Arial"/>
        <w:i/>
        <w:iCs/>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02A69"/>
    <w:multiLevelType w:val="multilevel"/>
    <w:tmpl w:val="265AC68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15AA5D8B"/>
    <w:multiLevelType w:val="hybridMultilevel"/>
    <w:tmpl w:val="110E9CB2"/>
    <w:lvl w:ilvl="0" w:tplc="E13C3542">
      <w:start w:val="1"/>
      <w:numFmt w:val="decimal"/>
      <w:lvlText w:val="%1."/>
      <w:lvlJc w:val="left"/>
      <w:pPr>
        <w:ind w:left="720" w:hanging="360"/>
      </w:pPr>
      <w:rPr>
        <w:rFonts w:cs="Times New Roman" w:hint="default"/>
        <w:i w:val="0"/>
        <w:iCs w:val="0"/>
        <w:color w:val="auto"/>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23F1191D"/>
    <w:multiLevelType w:val="hybridMultilevel"/>
    <w:tmpl w:val="110E9CB2"/>
    <w:lvl w:ilvl="0" w:tplc="FFFFFFFF">
      <w:start w:val="1"/>
      <w:numFmt w:val="decimal"/>
      <w:lvlText w:val="%1."/>
      <w:lvlJc w:val="left"/>
      <w:pPr>
        <w:ind w:left="720" w:hanging="360"/>
      </w:pPr>
      <w:rPr>
        <w:rFonts w:cs="Times New Roman" w:hint="default"/>
        <w:i w:val="0"/>
        <w:iCs w:val="0"/>
        <w:color w:val="auto"/>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 w15:restartNumberingAfterBreak="0">
    <w:nsid w:val="293A4687"/>
    <w:multiLevelType w:val="multilevel"/>
    <w:tmpl w:val="EDA2F5F2"/>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3DF20FD"/>
    <w:multiLevelType w:val="multilevel"/>
    <w:tmpl w:val="265AC688"/>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6" w15:restartNumberingAfterBreak="0">
    <w:nsid w:val="3A90612A"/>
    <w:multiLevelType w:val="hybridMultilevel"/>
    <w:tmpl w:val="DF1A8D06"/>
    <w:lvl w:ilvl="0" w:tplc="8AC66AAC">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54E4709"/>
    <w:multiLevelType w:val="multilevel"/>
    <w:tmpl w:val="D07A652A"/>
    <w:lvl w:ilvl="0">
      <w:start w:val="1"/>
      <w:numFmt w:val="decimal"/>
      <w:lvlText w:val="%1."/>
      <w:lvlJc w:val="left"/>
      <w:pPr>
        <w:ind w:left="720" w:hanging="360"/>
      </w:pPr>
      <w:rPr>
        <w:rFonts w:hint="default"/>
      </w:rPr>
    </w:lvl>
    <w:lvl w:ilvl="1">
      <w:start w:val="3"/>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7FC7C4E"/>
    <w:multiLevelType w:val="hybridMultilevel"/>
    <w:tmpl w:val="2CC25952"/>
    <w:lvl w:ilvl="0" w:tplc="3B2EDE42">
      <w:start w:val="1"/>
      <w:numFmt w:val="lowerLetter"/>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num w:numId="1" w16cid:durableId="39311747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231944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9140078">
    <w:abstractNumId w:val="1"/>
  </w:num>
  <w:num w:numId="4" w16cid:durableId="18502952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896443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3915555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52323791">
    <w:abstractNumId w:val="7"/>
  </w:num>
  <w:num w:numId="8" w16cid:durableId="1896774723">
    <w:abstractNumId w:val="3"/>
  </w:num>
  <w:num w:numId="9" w16cid:durableId="335767568">
    <w:abstractNumId w:val="2"/>
  </w:num>
  <w:num w:numId="10" w16cid:durableId="20332575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F1B"/>
    <w:rsid w:val="00010B23"/>
    <w:rsid w:val="00020DD5"/>
    <w:rsid w:val="0003138C"/>
    <w:rsid w:val="00046435"/>
    <w:rsid w:val="0005423F"/>
    <w:rsid w:val="00070D03"/>
    <w:rsid w:val="000878EB"/>
    <w:rsid w:val="00091658"/>
    <w:rsid w:val="000B2F59"/>
    <w:rsid w:val="000F010B"/>
    <w:rsid w:val="000F3D5C"/>
    <w:rsid w:val="00116F45"/>
    <w:rsid w:val="0012620E"/>
    <w:rsid w:val="001430C9"/>
    <w:rsid w:val="001843AF"/>
    <w:rsid w:val="00197F1B"/>
    <w:rsid w:val="001A3D7F"/>
    <w:rsid w:val="001B18E6"/>
    <w:rsid w:val="001B657E"/>
    <w:rsid w:val="00227B57"/>
    <w:rsid w:val="0023339F"/>
    <w:rsid w:val="00277B27"/>
    <w:rsid w:val="0028056A"/>
    <w:rsid w:val="00286241"/>
    <w:rsid w:val="002A6DA2"/>
    <w:rsid w:val="002C3B9A"/>
    <w:rsid w:val="002D198B"/>
    <w:rsid w:val="003159B7"/>
    <w:rsid w:val="00334504"/>
    <w:rsid w:val="00337B7A"/>
    <w:rsid w:val="003441A8"/>
    <w:rsid w:val="003458AB"/>
    <w:rsid w:val="00352FA0"/>
    <w:rsid w:val="00360C55"/>
    <w:rsid w:val="00363B0D"/>
    <w:rsid w:val="00364141"/>
    <w:rsid w:val="003846DF"/>
    <w:rsid w:val="003A4330"/>
    <w:rsid w:val="003D301E"/>
    <w:rsid w:val="00407AFB"/>
    <w:rsid w:val="004129C7"/>
    <w:rsid w:val="00415EB3"/>
    <w:rsid w:val="00424437"/>
    <w:rsid w:val="00432E36"/>
    <w:rsid w:val="0048285D"/>
    <w:rsid w:val="00492BFB"/>
    <w:rsid w:val="004D0948"/>
    <w:rsid w:val="004E1386"/>
    <w:rsid w:val="004E35CA"/>
    <w:rsid w:val="004F7BD8"/>
    <w:rsid w:val="00511985"/>
    <w:rsid w:val="00532A4D"/>
    <w:rsid w:val="005427F0"/>
    <w:rsid w:val="00547EC7"/>
    <w:rsid w:val="00576A09"/>
    <w:rsid w:val="00591135"/>
    <w:rsid w:val="005B5F94"/>
    <w:rsid w:val="005E3568"/>
    <w:rsid w:val="005F2EB1"/>
    <w:rsid w:val="005F3CA9"/>
    <w:rsid w:val="00602236"/>
    <w:rsid w:val="00651668"/>
    <w:rsid w:val="00686C26"/>
    <w:rsid w:val="006A0A73"/>
    <w:rsid w:val="006A2E46"/>
    <w:rsid w:val="006A6F17"/>
    <w:rsid w:val="006B2A4D"/>
    <w:rsid w:val="006C3432"/>
    <w:rsid w:val="006C5C43"/>
    <w:rsid w:val="006E7FE8"/>
    <w:rsid w:val="006F68FE"/>
    <w:rsid w:val="00783369"/>
    <w:rsid w:val="007B3504"/>
    <w:rsid w:val="007C3444"/>
    <w:rsid w:val="007C4A32"/>
    <w:rsid w:val="008153EB"/>
    <w:rsid w:val="00831198"/>
    <w:rsid w:val="008416FE"/>
    <w:rsid w:val="00857F24"/>
    <w:rsid w:val="00887537"/>
    <w:rsid w:val="008D6A2D"/>
    <w:rsid w:val="008E3B02"/>
    <w:rsid w:val="009074D4"/>
    <w:rsid w:val="009138B7"/>
    <w:rsid w:val="00920B56"/>
    <w:rsid w:val="00950A58"/>
    <w:rsid w:val="00975311"/>
    <w:rsid w:val="0099542E"/>
    <w:rsid w:val="009963D6"/>
    <w:rsid w:val="009B2B58"/>
    <w:rsid w:val="009D21C0"/>
    <w:rsid w:val="009D66B7"/>
    <w:rsid w:val="00A37E4B"/>
    <w:rsid w:val="00A503D3"/>
    <w:rsid w:val="00A5446D"/>
    <w:rsid w:val="00A62EAC"/>
    <w:rsid w:val="00A77E08"/>
    <w:rsid w:val="00A85CBE"/>
    <w:rsid w:val="00AC2F6C"/>
    <w:rsid w:val="00AD2126"/>
    <w:rsid w:val="00AD7FDC"/>
    <w:rsid w:val="00AE37C0"/>
    <w:rsid w:val="00B24461"/>
    <w:rsid w:val="00B417C5"/>
    <w:rsid w:val="00B533C6"/>
    <w:rsid w:val="00B704B5"/>
    <w:rsid w:val="00B8061F"/>
    <w:rsid w:val="00B9305B"/>
    <w:rsid w:val="00BB5D2C"/>
    <w:rsid w:val="00BC3A7E"/>
    <w:rsid w:val="00BC67C3"/>
    <w:rsid w:val="00BD686B"/>
    <w:rsid w:val="00BE1E62"/>
    <w:rsid w:val="00C12CF9"/>
    <w:rsid w:val="00C26831"/>
    <w:rsid w:val="00C27FA8"/>
    <w:rsid w:val="00C5505A"/>
    <w:rsid w:val="00C63FDD"/>
    <w:rsid w:val="00C65693"/>
    <w:rsid w:val="00C74CDB"/>
    <w:rsid w:val="00CA4373"/>
    <w:rsid w:val="00CB2C0C"/>
    <w:rsid w:val="00CC2A3F"/>
    <w:rsid w:val="00CE43A9"/>
    <w:rsid w:val="00CE7657"/>
    <w:rsid w:val="00D13C8A"/>
    <w:rsid w:val="00D6090D"/>
    <w:rsid w:val="00D73FFF"/>
    <w:rsid w:val="00DC5289"/>
    <w:rsid w:val="00DE621D"/>
    <w:rsid w:val="00DF1026"/>
    <w:rsid w:val="00E01320"/>
    <w:rsid w:val="00E10EBB"/>
    <w:rsid w:val="00E56ED3"/>
    <w:rsid w:val="00E644D9"/>
    <w:rsid w:val="00E67967"/>
    <w:rsid w:val="00E83536"/>
    <w:rsid w:val="00E85C5D"/>
    <w:rsid w:val="00E934B9"/>
    <w:rsid w:val="00EE4622"/>
    <w:rsid w:val="00F15375"/>
    <w:rsid w:val="00F239F5"/>
    <w:rsid w:val="00F516FC"/>
    <w:rsid w:val="00F60B35"/>
    <w:rsid w:val="00F6131C"/>
    <w:rsid w:val="00F71A38"/>
    <w:rsid w:val="00F73F8F"/>
    <w:rsid w:val="00FA0655"/>
    <w:rsid w:val="00FB1DC1"/>
    <w:rsid w:val="00FC70B7"/>
    <w:rsid w:val="00FD3BF0"/>
    <w:rsid w:val="00FF24D1"/>
    <w:rsid w:val="00FF6783"/>
    <w:rsid w:val="02E5BC06"/>
    <w:rsid w:val="0CE0F1B8"/>
    <w:rsid w:val="0EF6C0F4"/>
    <w:rsid w:val="157772C1"/>
    <w:rsid w:val="15B9FF78"/>
    <w:rsid w:val="166F24AD"/>
    <w:rsid w:val="16D998BD"/>
    <w:rsid w:val="2051C01E"/>
    <w:rsid w:val="20C3DB20"/>
    <w:rsid w:val="24EC9F6E"/>
    <w:rsid w:val="2A113ADF"/>
    <w:rsid w:val="2A836CB7"/>
    <w:rsid w:val="2B21BFE9"/>
    <w:rsid w:val="2FFBE311"/>
    <w:rsid w:val="3233601A"/>
    <w:rsid w:val="345A7CF7"/>
    <w:rsid w:val="36A5342B"/>
    <w:rsid w:val="37BF76E4"/>
    <w:rsid w:val="3D33B2BD"/>
    <w:rsid w:val="3F61B9A9"/>
    <w:rsid w:val="4DFF1989"/>
    <w:rsid w:val="690B1291"/>
    <w:rsid w:val="6CD6206F"/>
    <w:rsid w:val="720A3C48"/>
    <w:rsid w:val="76573F20"/>
    <w:rsid w:val="778B1B05"/>
    <w:rsid w:val="7876B693"/>
    <w:rsid w:val="79E31E97"/>
    <w:rsid w:val="7F4550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008A"/>
  <w15:chartTrackingRefBased/>
  <w15:docId w15:val="{C4DD2811-388B-4538-8E9E-EC9FE2C0F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59B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9"/>
    <w:unhideWhenUsed/>
    <w:qFormat/>
    <w:rsid w:val="00197F1B"/>
    <w:pPr>
      <w:keepNext/>
      <w:spacing w:before="240" w:after="60" w:line="240" w:lineRule="auto"/>
      <w:outlineLvl w:val="1"/>
    </w:pPr>
    <w:rPr>
      <w:rFonts w:ascii="Cambria" w:eastAsia="Times New Roman" w:hAnsi="Cambria" w:cs="Times New Roman"/>
      <w:b/>
      <w:bCs/>
      <w:i/>
      <w:iCs/>
      <w:sz w:val="28"/>
      <w:szCs w:val="28"/>
    </w:rPr>
  </w:style>
  <w:style w:type="paragraph" w:styleId="Heading4">
    <w:name w:val="heading 4"/>
    <w:basedOn w:val="Normal"/>
    <w:next w:val="Normal"/>
    <w:link w:val="Heading4Char"/>
    <w:uiPriority w:val="9"/>
    <w:semiHidden/>
    <w:unhideWhenUsed/>
    <w:qFormat/>
    <w:rsid w:val="003159B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197F1B"/>
    <w:rPr>
      <w:rFonts w:ascii="Cambria" w:eastAsia="Times New Roman" w:hAnsi="Cambria" w:cs="Times New Roman"/>
      <w:b/>
      <w:bCs/>
      <w:i/>
      <w:iCs/>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97F1B"/>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uiPriority w:val="59"/>
    <w:rsid w:val="00197F1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97F1B"/>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97F1B"/>
    <w:pPr>
      <w:tabs>
        <w:tab w:val="center" w:pos="4819"/>
        <w:tab w:val="right" w:pos="9638"/>
      </w:tabs>
      <w:spacing w:after="0" w:line="240" w:lineRule="auto"/>
    </w:pPr>
  </w:style>
  <w:style w:type="character" w:customStyle="1" w:styleId="HeaderChar">
    <w:name w:val="Header Char"/>
    <w:basedOn w:val="DefaultParagraphFont"/>
    <w:link w:val="Header"/>
    <w:uiPriority w:val="99"/>
    <w:rsid w:val="00197F1B"/>
  </w:style>
  <w:style w:type="paragraph" w:styleId="Footer">
    <w:name w:val="footer"/>
    <w:basedOn w:val="Normal"/>
    <w:link w:val="FooterChar"/>
    <w:uiPriority w:val="99"/>
    <w:unhideWhenUsed/>
    <w:rsid w:val="00197F1B"/>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7F1B"/>
  </w:style>
  <w:style w:type="paragraph" w:styleId="BalloonText">
    <w:name w:val="Balloon Text"/>
    <w:basedOn w:val="Normal"/>
    <w:link w:val="BalloonTextChar"/>
    <w:uiPriority w:val="99"/>
    <w:semiHidden/>
    <w:unhideWhenUsed/>
    <w:rsid w:val="007C34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444"/>
    <w:rPr>
      <w:rFonts w:ascii="Segoe UI" w:hAnsi="Segoe UI" w:cs="Segoe UI"/>
      <w:sz w:val="18"/>
      <w:szCs w:val="18"/>
    </w:rPr>
  </w:style>
  <w:style w:type="character" w:styleId="Hyperlink">
    <w:name w:val="Hyperlink"/>
    <w:basedOn w:val="DefaultParagraphFont"/>
    <w:uiPriority w:val="99"/>
    <w:semiHidden/>
    <w:unhideWhenUsed/>
    <w:rsid w:val="00DE621D"/>
    <w:rPr>
      <w:color w:val="0000FF"/>
      <w:u w:val="single"/>
    </w:rPr>
  </w:style>
  <w:style w:type="character" w:customStyle="1" w:styleId="Laukeliai">
    <w:name w:val="Laukeliai"/>
    <w:basedOn w:val="DefaultParagraphFont"/>
    <w:uiPriority w:val="1"/>
    <w:qFormat/>
    <w:rsid w:val="00DE621D"/>
    <w:rPr>
      <w:rFonts w:ascii="Arial" w:hAnsi="Arial"/>
      <w:sz w:val="20"/>
    </w:rPr>
  </w:style>
  <w:style w:type="table" w:customStyle="1" w:styleId="TableGrid1">
    <w:name w:val="Table Grid1"/>
    <w:basedOn w:val="TableNormal"/>
    <w:uiPriority w:val="39"/>
    <w:rsid w:val="00DE621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73F8F"/>
    <w:rPr>
      <w:sz w:val="16"/>
      <w:szCs w:val="16"/>
    </w:rPr>
  </w:style>
  <w:style w:type="paragraph" w:styleId="CommentText">
    <w:name w:val="annotation text"/>
    <w:basedOn w:val="Normal"/>
    <w:link w:val="CommentTextChar"/>
    <w:uiPriority w:val="99"/>
    <w:unhideWhenUsed/>
    <w:rsid w:val="00F73F8F"/>
    <w:pPr>
      <w:spacing w:line="240" w:lineRule="auto"/>
    </w:pPr>
    <w:rPr>
      <w:sz w:val="20"/>
      <w:szCs w:val="20"/>
    </w:rPr>
  </w:style>
  <w:style w:type="character" w:customStyle="1" w:styleId="CommentTextChar">
    <w:name w:val="Comment Text Char"/>
    <w:basedOn w:val="DefaultParagraphFont"/>
    <w:link w:val="CommentText"/>
    <w:uiPriority w:val="99"/>
    <w:rsid w:val="00F73F8F"/>
    <w:rPr>
      <w:sz w:val="20"/>
      <w:szCs w:val="20"/>
    </w:rPr>
  </w:style>
  <w:style w:type="paragraph" w:styleId="CommentSubject">
    <w:name w:val="annotation subject"/>
    <w:basedOn w:val="CommentText"/>
    <w:next w:val="CommentText"/>
    <w:link w:val="CommentSubjectChar"/>
    <w:uiPriority w:val="99"/>
    <w:semiHidden/>
    <w:unhideWhenUsed/>
    <w:rsid w:val="00F73F8F"/>
    <w:rPr>
      <w:b/>
      <w:bCs/>
    </w:rPr>
  </w:style>
  <w:style w:type="character" w:customStyle="1" w:styleId="CommentSubjectChar">
    <w:name w:val="Comment Subject Char"/>
    <w:basedOn w:val="CommentTextChar"/>
    <w:link w:val="CommentSubject"/>
    <w:uiPriority w:val="99"/>
    <w:semiHidden/>
    <w:rsid w:val="00F73F8F"/>
    <w:rPr>
      <w:b/>
      <w:bCs/>
      <w:sz w:val="20"/>
      <w:szCs w:val="20"/>
    </w:rPr>
  </w:style>
  <w:style w:type="paragraph" w:styleId="Revision">
    <w:name w:val="Revision"/>
    <w:hidden/>
    <w:uiPriority w:val="99"/>
    <w:semiHidden/>
    <w:rsid w:val="000B2F59"/>
    <w:pPr>
      <w:spacing w:after="0" w:line="240" w:lineRule="auto"/>
    </w:pPr>
  </w:style>
  <w:style w:type="character" w:styleId="FollowedHyperlink">
    <w:name w:val="FollowedHyperlink"/>
    <w:basedOn w:val="DefaultParagraphFont"/>
    <w:uiPriority w:val="99"/>
    <w:semiHidden/>
    <w:unhideWhenUsed/>
    <w:rsid w:val="006C5C43"/>
    <w:rPr>
      <w:color w:val="954F72" w:themeColor="followedHyperlink"/>
      <w:u w:val="single"/>
    </w:rPr>
  </w:style>
  <w:style w:type="character" w:customStyle="1" w:styleId="Heading1Char">
    <w:name w:val="Heading 1 Char"/>
    <w:basedOn w:val="DefaultParagraphFont"/>
    <w:link w:val="Heading1"/>
    <w:uiPriority w:val="9"/>
    <w:rsid w:val="003159B7"/>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3159B7"/>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1FBD88-1B3A-46AE-839B-4F27744DE0EA}">
  <ds:schemaRefs>
    <ds:schemaRef ds:uri="http://schemas.microsoft.com/sharepoint/v3/contenttype/forms"/>
  </ds:schemaRefs>
</ds:datastoreItem>
</file>

<file path=customXml/itemProps2.xml><?xml version="1.0" encoding="utf-8"?>
<ds:datastoreItem xmlns:ds="http://schemas.openxmlformats.org/officeDocument/2006/customXml" ds:itemID="{27C069D2-EB14-4DF8-8B5D-982690F76115}">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www.w3.org/XML/1998/namespace"/>
    <ds:schemaRef ds:uri="dfbb9abb-33a4-44d6-bcde-4cc38f588280"/>
  </ds:schemaRefs>
</ds:datastoreItem>
</file>

<file path=customXml/itemProps3.xml><?xml version="1.0" encoding="utf-8"?>
<ds:datastoreItem xmlns:ds="http://schemas.openxmlformats.org/officeDocument/2006/customXml" ds:itemID="{8B96D1BD-E437-4EB1-A7BF-FEEBF99BB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b9abb-33a4-44d6-bcde-4cc38f5882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1557</Words>
  <Characters>889</Characters>
  <Application>Microsoft Office Word</Application>
  <DocSecurity>0</DocSecurity>
  <Lines>7</Lines>
  <Paragraphs>4</Paragraphs>
  <ScaleCrop>false</ScaleCrop>
  <Company>UAB TIC</Company>
  <LinksUpToDate>false</LinksUpToDate>
  <CharactersWithSpaces>2442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5 (20191015)</dc:description>
  <cp:lastModifiedBy>Marius Stankus</cp:lastModifiedBy>
  <cp:revision>115</cp:revision>
  <dcterms:created xsi:type="dcterms:W3CDTF">2019-05-16T23:00:00Z</dcterms:created>
  <dcterms:modified xsi:type="dcterms:W3CDTF">2025-10-01T11:54:00Z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Zivile.Kasparaviciene@le.lt</vt:lpwstr>
  </property>
  <property fmtid="{D5CDD505-2E9C-101B-9397-08002B2CF9AE}" pid="5" name="MSIP_Label_320c693d-44b7-4e16-b3dd-4fcd87401cf5_SetDate">
    <vt:lpwstr>2019-06-11T07:19:21.2492494Z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f01ab589-3d03-4a47-8f50-da3e645bfe7d</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Zivile.Kasparaviciene@le.lt</vt:lpwstr>
  </property>
  <property fmtid="{D5CDD505-2E9C-101B-9397-08002B2CF9AE}" pid="13" name="MSIP_Label_190751af-2442-49a7-b7b9-9f0bcce858c9_SetDate">
    <vt:lpwstr>2019-06-11T07:19:21.2492494Z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f01ab589-3d03-4a47-8f50-da3e645bfe7d</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ontentTypeId">
    <vt:lpwstr>0x010100767A2B2E91D3F34CADC5C9F7409123AD</vt:lpwstr>
  </property>
</Properties>
</file>